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B46C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四川省长宁县职业技术学校</w:t>
      </w:r>
    </w:p>
    <w:p w14:paraId="2AB9067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w:t>
      </w:r>
      <w:r>
        <w:rPr>
          <w:rFonts w:hint="eastAsia" w:ascii="方正小标宋简体" w:hAnsi="方正小标宋简体" w:eastAsia="方正小标宋简体" w:cs="方正小标宋简体"/>
          <w:sz w:val="44"/>
          <w:szCs w:val="44"/>
          <w:lang w:eastAsia="zh-CN"/>
        </w:rPr>
        <w:t>光明</w:t>
      </w:r>
      <w:r>
        <w:rPr>
          <w:rFonts w:hint="eastAsia" w:ascii="方正小标宋简体" w:hAnsi="方正小标宋简体" w:eastAsia="方正小标宋简体" w:cs="方正小标宋简体"/>
          <w:sz w:val="44"/>
          <w:szCs w:val="44"/>
        </w:rPr>
        <w:t>校区零星维修定点服务项目</w:t>
      </w:r>
    </w:p>
    <w:p w14:paraId="3A5B2B3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竞争性磋商公告</w:t>
      </w:r>
    </w:p>
    <w:p w14:paraId="5FC887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学校零星维修项目管理，确保维修工作安全、规范、高效实施，依据《中华人民共和国政府采购法》《政府采购竞争性磋商采购方式管理暂行办法》（财库〔2014〕214号）及市、县相关工程建设项目管理规定，我校决定对“2026年</w:t>
      </w:r>
      <w:r>
        <w:rPr>
          <w:rFonts w:hint="eastAsia" w:ascii="仿宋_GB2312" w:hAnsi="仿宋_GB2312" w:eastAsia="仿宋_GB2312" w:cs="仿宋_GB2312"/>
          <w:sz w:val="32"/>
          <w:szCs w:val="32"/>
          <w:lang w:eastAsia="zh-CN"/>
        </w:rPr>
        <w:t>光明</w:t>
      </w:r>
      <w:r>
        <w:rPr>
          <w:rFonts w:hint="eastAsia" w:ascii="仿宋_GB2312" w:hAnsi="仿宋_GB2312" w:eastAsia="仿宋_GB2312" w:cs="仿宋_GB2312"/>
          <w:sz w:val="32"/>
          <w:szCs w:val="32"/>
        </w:rPr>
        <w:t>校区零星维修定点服务项目”采用竞争性磋商方式采购。现邀请符合资格条件的供应商参与磋商。</w:t>
      </w:r>
    </w:p>
    <w:p w14:paraId="063103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一、项目概况</w:t>
      </w:r>
    </w:p>
    <w:p w14:paraId="34AED4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GB2312" w:hAnsi="楷体GB2312" w:eastAsia="楷体GB2312" w:cs="楷体GB2312"/>
          <w:sz w:val="32"/>
          <w:szCs w:val="32"/>
        </w:rPr>
        <w:t>（一）采购人：</w:t>
      </w:r>
      <w:r>
        <w:rPr>
          <w:rFonts w:hint="eastAsia" w:ascii="仿宋_GB2312" w:hAnsi="仿宋_GB2312" w:eastAsia="仿宋_GB2312" w:cs="仿宋_GB2312"/>
          <w:sz w:val="32"/>
          <w:szCs w:val="32"/>
        </w:rPr>
        <w:t>四川省长宁县职业技术学校</w:t>
      </w:r>
    </w:p>
    <w:p w14:paraId="3990F6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GB2312" w:hAnsi="楷体GB2312" w:eastAsia="楷体GB2312" w:cs="楷体GB2312"/>
          <w:sz w:val="32"/>
          <w:szCs w:val="32"/>
        </w:rPr>
        <w:t>（二）</w:t>
      </w:r>
      <w:r>
        <w:rPr>
          <w:rFonts w:hint="eastAsia" w:ascii="楷体GB2312" w:hAnsi="楷体GB2312" w:eastAsia="楷体GB2312" w:cs="楷体GB2312"/>
          <w:sz w:val="32"/>
          <w:szCs w:val="32"/>
          <w:lang w:val="en-US" w:eastAsia="zh-CN"/>
        </w:rPr>
        <w:t>项目编号</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CNZX〔2026〕-007</w:t>
      </w:r>
    </w:p>
    <w:p w14:paraId="1884CE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GB2312" w:hAnsi="楷体GB2312" w:eastAsia="楷体GB2312" w:cs="楷体GB2312"/>
          <w:sz w:val="32"/>
          <w:szCs w:val="32"/>
        </w:rPr>
        <w:t>（</w:t>
      </w:r>
      <w:r>
        <w:rPr>
          <w:rFonts w:hint="eastAsia" w:ascii="楷体GB2312" w:hAnsi="楷体GB2312" w:eastAsia="楷体GB2312" w:cs="楷体GB2312"/>
          <w:sz w:val="32"/>
          <w:szCs w:val="32"/>
          <w:lang w:val="en-US" w:eastAsia="zh-CN"/>
        </w:rPr>
        <w:t>三</w:t>
      </w:r>
      <w:r>
        <w:rPr>
          <w:rFonts w:hint="eastAsia" w:ascii="楷体GB2312" w:hAnsi="楷体GB2312" w:eastAsia="楷体GB2312" w:cs="楷体GB2312"/>
          <w:sz w:val="32"/>
          <w:szCs w:val="32"/>
        </w:rPr>
        <w:t>）项目名称：</w:t>
      </w:r>
      <w:r>
        <w:rPr>
          <w:rFonts w:hint="eastAsia" w:ascii="仿宋_GB2312" w:hAnsi="仿宋_GB2312" w:eastAsia="仿宋_GB2312" w:cs="仿宋_GB2312"/>
          <w:sz w:val="32"/>
          <w:szCs w:val="32"/>
        </w:rPr>
        <w:t>四川省长宁县职业技术学校2026年</w:t>
      </w:r>
      <w:r>
        <w:rPr>
          <w:rFonts w:hint="eastAsia" w:ascii="仿宋_GB2312" w:hAnsi="仿宋_GB2312" w:eastAsia="仿宋_GB2312" w:cs="仿宋_GB2312"/>
          <w:sz w:val="32"/>
          <w:szCs w:val="32"/>
          <w:lang w:eastAsia="zh-CN"/>
        </w:rPr>
        <w:t>光明</w:t>
      </w:r>
      <w:r>
        <w:rPr>
          <w:rFonts w:hint="eastAsia" w:ascii="仿宋_GB2312" w:hAnsi="仿宋_GB2312" w:eastAsia="仿宋_GB2312" w:cs="仿宋_GB2312"/>
          <w:sz w:val="32"/>
          <w:szCs w:val="32"/>
        </w:rPr>
        <w:t>校区零星维修定点服务项目</w:t>
      </w:r>
    </w:p>
    <w:p w14:paraId="059679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GB2312" w:hAnsi="楷体GB2312" w:eastAsia="楷体GB2312" w:cs="楷体GB2312"/>
          <w:sz w:val="32"/>
          <w:szCs w:val="32"/>
        </w:rPr>
        <w:t>（</w:t>
      </w:r>
      <w:r>
        <w:rPr>
          <w:rFonts w:hint="eastAsia" w:ascii="楷体GB2312" w:hAnsi="楷体GB2312" w:eastAsia="楷体GB2312" w:cs="楷体GB2312"/>
          <w:sz w:val="32"/>
          <w:szCs w:val="32"/>
          <w:lang w:val="en-US" w:eastAsia="zh-CN"/>
        </w:rPr>
        <w:t>四</w:t>
      </w:r>
      <w:r>
        <w:rPr>
          <w:rFonts w:hint="eastAsia" w:ascii="楷体GB2312" w:hAnsi="楷体GB2312" w:eastAsia="楷体GB2312" w:cs="楷体GB2312"/>
          <w:sz w:val="32"/>
          <w:szCs w:val="32"/>
        </w:rPr>
        <w:t>）采购需求：</w:t>
      </w:r>
      <w:r>
        <w:rPr>
          <w:rFonts w:hint="eastAsia" w:ascii="仿宋_GB2312" w:hAnsi="仿宋_GB2312" w:eastAsia="仿宋_GB2312" w:cs="仿宋_GB2312"/>
          <w:sz w:val="32"/>
          <w:szCs w:val="32"/>
        </w:rPr>
        <w:t>零星维修工作具有突发性、时效性等特点。本项目旨在通过竞争性磋商确定一家优质供应商，负责2026年度学校</w:t>
      </w:r>
      <w:r>
        <w:rPr>
          <w:rFonts w:hint="eastAsia" w:ascii="仿宋_GB2312" w:hAnsi="仿宋_GB2312" w:eastAsia="仿宋_GB2312" w:cs="仿宋_GB2312"/>
          <w:sz w:val="32"/>
          <w:szCs w:val="32"/>
          <w:lang w:eastAsia="zh-CN"/>
        </w:rPr>
        <w:t>光明</w:t>
      </w:r>
      <w:r>
        <w:rPr>
          <w:rFonts w:hint="eastAsia" w:ascii="仿宋_GB2312" w:hAnsi="仿宋_GB2312" w:eastAsia="仿宋_GB2312" w:cs="仿宋_GB2312"/>
          <w:sz w:val="32"/>
          <w:szCs w:val="32"/>
        </w:rPr>
        <w:t>校区内各类零星维修服务，包括但不限于校舍设施、水电管线、装饰装修等的应急与日常维修，要求供应商能够及时响应、高效处理，确保维修质量符合国家及相关行业标准。</w:t>
      </w:r>
    </w:p>
    <w:p w14:paraId="40C174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GB2312" w:hAnsi="楷体GB2312" w:eastAsia="楷体GB2312" w:cs="楷体GB2312"/>
          <w:sz w:val="32"/>
          <w:szCs w:val="32"/>
        </w:rPr>
        <w:t>（</w:t>
      </w:r>
      <w:r>
        <w:rPr>
          <w:rFonts w:hint="eastAsia" w:ascii="楷体GB2312" w:hAnsi="楷体GB2312" w:eastAsia="楷体GB2312" w:cs="楷体GB2312"/>
          <w:sz w:val="32"/>
          <w:szCs w:val="32"/>
          <w:lang w:val="en-US" w:eastAsia="zh-CN"/>
        </w:rPr>
        <w:t>五</w:t>
      </w:r>
      <w:r>
        <w:rPr>
          <w:rFonts w:hint="eastAsia" w:ascii="楷体GB2312" w:hAnsi="楷体GB2312" w:eastAsia="楷体GB2312" w:cs="楷体GB2312"/>
          <w:sz w:val="32"/>
          <w:szCs w:val="32"/>
        </w:rPr>
        <w:t>）合同履行：</w:t>
      </w:r>
      <w:r>
        <w:rPr>
          <w:rFonts w:hint="eastAsia" w:ascii="仿宋_GB2312" w:hAnsi="仿宋_GB2312" w:eastAsia="仿宋_GB2312" w:cs="仿宋_GB2312"/>
          <w:sz w:val="32"/>
          <w:szCs w:val="32"/>
        </w:rPr>
        <w:t>成交供应商应在成交结果通知后3个工作日内与我校签订《零星维修定点服务合同》，逾期未签订视为自动放弃成交资格。供应商须严格按照合同约定，在服务期内及时、保质完成各项维修任务。</w:t>
      </w:r>
    </w:p>
    <w:p w14:paraId="3312B2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二、服务期限</w:t>
      </w:r>
    </w:p>
    <w:p w14:paraId="10BC48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服务期限为1年。合同期满后，经学校考核合格且双方协商一致，可续签1年（续签条款另行协商）。</w:t>
      </w:r>
    </w:p>
    <w:p w14:paraId="153ABF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三、供应商资格</w:t>
      </w:r>
      <w:r>
        <w:rPr>
          <w:rFonts w:hint="eastAsia" w:ascii="黑体" w:hAnsi="黑体" w:eastAsia="黑体" w:cs="黑体"/>
          <w:sz w:val="32"/>
          <w:szCs w:val="32"/>
          <w:lang w:val="en-US" w:eastAsia="zh-CN"/>
        </w:rPr>
        <w:t>条件</w:t>
      </w:r>
    </w:p>
    <w:p w14:paraId="74AE39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具有独立法人资格或独立承担民事责任能力的其他组织（须提供有效营业执照或事业单位法人证书等证明文件扫描件，原件备查）；</w:t>
      </w:r>
    </w:p>
    <w:p w14:paraId="6259D9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未被列入“信用中国”（www.creditchina.gov.cn）失信被执行人名单、重大税收违法案件当事人名单，未被列入“中国政府采购网”（www.ccgp.gov.cn）政府采购严重违法失信行为记录名单；</w:t>
      </w:r>
    </w:p>
    <w:p w14:paraId="40CBDA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须在长宁县建筑施工企业白名单库内，且参加本次采购活动前3年内在经营活动中无重大违法记录（须提供相关证明材料）；</w:t>
      </w:r>
    </w:p>
    <w:p w14:paraId="7BCD46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近3年内在经营活动中无重大违法记录，且不存在被有关部门禁止参与政府采购活动且在有效期内的情形（须提供书面声明函并加盖公章）；</w:t>
      </w:r>
    </w:p>
    <w:p w14:paraId="4850E8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具有履行合同所必需的设备和专业技术能力，须具备有效的建筑工程施工总承包资质或建筑装修装饰工程专业承包资质（提供资质证书扫描件，原件备查）；</w:t>
      </w:r>
    </w:p>
    <w:p w14:paraId="086D86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供应商及其法定代表人、主要负责人在前3年内无行贿犯罪记录（须提供“中国裁判文书网”查询截图或无行贿犯罪记录声明函）；</w:t>
      </w:r>
    </w:p>
    <w:p w14:paraId="36A3FF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本项目不接受联合体响应，且不允许转包、分包（须提供承诺函）；</w:t>
      </w:r>
    </w:p>
    <w:p w14:paraId="1FCC65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单位负责人为同一人或者存在直接控股、管理关系的不同供应商，不得同时参加本项目；股东相同或同一股东占股50%以上的不同供应商，亦不得同时参与，否则其响应均无效；</w:t>
      </w:r>
    </w:p>
    <w:p w14:paraId="1CEF2E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法律、行政法规规定的其他条件。</w:t>
      </w:r>
    </w:p>
    <w:p w14:paraId="174CDC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rPr>
        <w:t>、</w:t>
      </w:r>
      <w:r>
        <w:rPr>
          <w:rFonts w:hint="eastAsia" w:ascii="黑体" w:hAnsi="黑体" w:eastAsia="黑体" w:cs="黑体"/>
          <w:sz w:val="32"/>
          <w:szCs w:val="32"/>
          <w:lang w:val="en-US" w:eastAsia="zh-CN"/>
        </w:rPr>
        <w:t>报名时间</w:t>
      </w:r>
    </w:p>
    <w:p w14:paraId="46954AC9">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（一）报名时间：2026年1月26日00:00至1月28日18:00（北京时间）。</w:t>
      </w:r>
    </w:p>
    <w:p w14:paraId="73C5DBC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（二）报名方式：供应商须在上述时间内，将单位营业执照复印件（加盖公章）、经办人身份证复印件及联系电话 合并制作为一个PDF文档，以附件形式发送至邮箱 250070071</w:t>
      </w:r>
      <w:r>
        <w:rPr>
          <w:rFonts w:hint="eastAsia" w:ascii="楷体_GB2312" w:hAnsi="楷体_GB2312" w:eastAsia="楷体_GB2312" w:cs="楷体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qq.com，邮件主题请注明“2026年光明校区零星维修报名-公司全称”。报名材料收到后，将邮件回复确认。</w:t>
      </w:r>
    </w:p>
    <w:p w14:paraId="10D776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、响应文件递交</w:t>
      </w:r>
    </w:p>
    <w:p w14:paraId="014D7C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（一）递交时间</w:t>
      </w:r>
      <w:r>
        <w:rPr>
          <w:rFonts w:hint="eastAsia" w:ascii="仿宋_GB2312" w:hAnsi="仿宋_GB2312" w:eastAsia="仿宋_GB2312" w:cs="仿宋_GB2312"/>
          <w:sz w:val="32"/>
          <w:szCs w:val="32"/>
        </w:rPr>
        <w:t>：2026年1月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0至</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0（北京时间）。逾期送达、未按要求密封的响应文件恕不接收。</w:t>
      </w:r>
    </w:p>
    <w:p w14:paraId="300B16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（二）递交地点及方式</w:t>
      </w:r>
      <w:r>
        <w:rPr>
          <w:rFonts w:hint="eastAsia" w:ascii="仿宋_GB2312" w:hAnsi="仿宋_GB2312" w:eastAsia="仿宋_GB2312" w:cs="仿宋_GB2312"/>
          <w:sz w:val="32"/>
          <w:szCs w:val="32"/>
        </w:rPr>
        <w:t>：现场递交至四川省长宁县职业技术学校</w:t>
      </w:r>
      <w:r>
        <w:rPr>
          <w:rFonts w:hint="eastAsia" w:ascii="仿宋_GB2312" w:hAnsi="仿宋_GB2312" w:eastAsia="仿宋_GB2312" w:cs="仿宋_GB2312"/>
          <w:sz w:val="32"/>
          <w:szCs w:val="32"/>
          <w:lang w:eastAsia="zh-CN"/>
        </w:rPr>
        <w:t>光明</w:t>
      </w:r>
      <w:r>
        <w:rPr>
          <w:rFonts w:hint="eastAsia" w:ascii="仿宋_GB2312" w:hAnsi="仿宋_GB2312" w:eastAsia="仿宋_GB2312" w:cs="仿宋_GB2312"/>
          <w:sz w:val="32"/>
          <w:szCs w:val="32"/>
        </w:rPr>
        <w:t>校区厚德楼4楼总务处（地址：长宁县竹都大道一段1号，如有变更将另行通知）。</w:t>
      </w:r>
      <w:bookmarkStart w:id="0" w:name="_GoBack"/>
      <w:bookmarkEnd w:id="0"/>
    </w:p>
    <w:p w14:paraId="020FBA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（三）响应文件组成（均须加盖供应商公章）：</w:t>
      </w:r>
    </w:p>
    <w:p w14:paraId="5E908C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法定代表人身份证明或法定代表人授权委托书（附委托人、受托人身份证复印件）；</w:t>
      </w:r>
    </w:p>
    <w:p w14:paraId="1CD185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有效的营业执照（或事业单位法人证书）复印件；</w:t>
      </w:r>
    </w:p>
    <w:p w14:paraId="1DE0EF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符合“供应商资格</w:t>
      </w:r>
      <w:r>
        <w:rPr>
          <w:rFonts w:hint="eastAsia" w:ascii="仿宋_GB2312" w:hAnsi="仿宋_GB2312" w:eastAsia="仿宋_GB2312" w:cs="仿宋_GB2312"/>
          <w:sz w:val="32"/>
          <w:szCs w:val="32"/>
          <w:lang w:val="en-US" w:eastAsia="zh-CN"/>
        </w:rPr>
        <w:t>条件</w:t>
      </w:r>
      <w:r>
        <w:rPr>
          <w:rFonts w:hint="eastAsia" w:ascii="仿宋_GB2312" w:hAnsi="仿宋_GB2312" w:eastAsia="仿宋_GB2312" w:cs="仿宋_GB2312"/>
          <w:sz w:val="32"/>
          <w:szCs w:val="32"/>
        </w:rPr>
        <w:t>”中第2至7条的所有证明文件（信用查询截图、白名单证明、无重大违法记录声明、资质证书、无行贿记录证明/声明、不转包分包承诺函等）；</w:t>
      </w:r>
    </w:p>
    <w:p w14:paraId="6E9054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服务方案（包括维修流程、应急响应机制、人员配置、质量与安全控制措施等）；</w:t>
      </w:r>
    </w:p>
    <w:p w14:paraId="74CDB8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服务承诺函（包括质量、工期、售后、配合度等方面的承诺）；</w:t>
      </w:r>
    </w:p>
    <w:p w14:paraId="256714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近2年类似项目业绩证明材料（提供合同关键页及对应发票复印件，原件备查）；</w:t>
      </w:r>
    </w:p>
    <w:p w14:paraId="3B00D5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报价函（明确维修项目结算价下浮率及报价说明）；</w:t>
      </w:r>
    </w:p>
    <w:p w14:paraId="62BE28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供应商认为需要提供的其他材料。</w:t>
      </w:r>
    </w:p>
    <w:p w14:paraId="2D5D60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（四）文件要求：</w:t>
      </w:r>
      <w:r>
        <w:rPr>
          <w:rFonts w:hint="eastAsia" w:ascii="仿宋_GB2312" w:hAnsi="仿宋_GB2312" w:eastAsia="仿宋_GB2312" w:cs="仿宋_GB2312"/>
          <w:sz w:val="32"/>
          <w:szCs w:val="32"/>
        </w:rPr>
        <w:t>响应文件须按上述顺序编制目录并装订成册，并准备正本壹册、副本壹册，共两册。将正、副本文件一并装入密封袋内，在密封袋封面清晰注明项目名称、项目编号、供应商名称、联系人及联系电话，并加盖公章。</w:t>
      </w:r>
    </w:p>
    <w:p w14:paraId="372D47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、结算方式</w:t>
      </w:r>
    </w:p>
    <w:p w14:paraId="1FB9CA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按月结算。其中，需委托第三方审计的维修项目，以审计审定金额为准；无需审计的零星维修</w:t>
      </w:r>
      <w:r>
        <w:rPr>
          <w:rFonts w:hint="eastAsia" w:ascii="仿宋_GB2312" w:hAnsi="仿宋_GB2312" w:eastAsia="仿宋_GB2312" w:cs="仿宋_GB2312"/>
          <w:color w:val="auto"/>
          <w:sz w:val="32"/>
          <w:szCs w:val="32"/>
          <w:lang w:val="en-US" w:eastAsia="zh-CN"/>
        </w:rPr>
        <w:t>或单项申报维修项目</w:t>
      </w:r>
      <w:r>
        <w:rPr>
          <w:rFonts w:hint="eastAsia" w:ascii="仿宋_GB2312" w:hAnsi="仿宋_GB2312" w:eastAsia="仿宋_GB2312" w:cs="仿宋_GB2312"/>
          <w:color w:val="auto"/>
          <w:sz w:val="32"/>
          <w:szCs w:val="32"/>
        </w:rPr>
        <w:t>，按双方合同约定的下浮率进行结算。</w:t>
      </w:r>
    </w:p>
    <w:p w14:paraId="425E87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、磋商及评审安排</w:t>
      </w:r>
    </w:p>
    <w:p w14:paraId="459205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GB2312" w:hAnsi="楷体GB2312" w:eastAsia="楷体GB2312" w:cs="楷体GB2312"/>
          <w:sz w:val="32"/>
          <w:szCs w:val="32"/>
        </w:rPr>
        <w:t>（一）磋商时间：</w:t>
      </w:r>
      <w:r>
        <w:rPr>
          <w:rFonts w:hint="eastAsia" w:ascii="仿宋_GB2312" w:hAnsi="仿宋_GB2312" w:eastAsia="仿宋_GB2312" w:cs="仿宋_GB2312"/>
          <w:sz w:val="32"/>
          <w:szCs w:val="32"/>
        </w:rPr>
        <w:t>2026年1月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09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0（北京时间，如有调整另行通知）</w:t>
      </w:r>
    </w:p>
    <w:p w14:paraId="5E3AF9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GB2312" w:hAnsi="楷体GB2312" w:eastAsia="楷体GB2312" w:cs="楷体GB2312"/>
          <w:sz w:val="32"/>
          <w:szCs w:val="32"/>
        </w:rPr>
        <w:t>（二）磋商地点：</w:t>
      </w:r>
      <w:r>
        <w:rPr>
          <w:rFonts w:hint="eastAsia" w:ascii="仿宋_GB2312" w:hAnsi="仿宋_GB2312" w:eastAsia="仿宋_GB2312" w:cs="仿宋_GB2312"/>
          <w:sz w:val="32"/>
          <w:szCs w:val="32"/>
        </w:rPr>
        <w:t>四川省长宁县职业技术学校</w:t>
      </w:r>
      <w:r>
        <w:rPr>
          <w:rFonts w:hint="eastAsia" w:ascii="仿宋_GB2312" w:hAnsi="仿宋_GB2312" w:eastAsia="仿宋_GB2312" w:cs="仿宋_GB2312"/>
          <w:sz w:val="32"/>
          <w:szCs w:val="32"/>
          <w:lang w:eastAsia="zh-CN"/>
        </w:rPr>
        <w:t>光明</w:t>
      </w:r>
      <w:r>
        <w:rPr>
          <w:rFonts w:hint="eastAsia" w:ascii="仿宋_GB2312" w:hAnsi="仿宋_GB2312" w:eastAsia="仿宋_GB2312" w:cs="仿宋_GB2312"/>
          <w:sz w:val="32"/>
          <w:szCs w:val="32"/>
        </w:rPr>
        <w:t>校区厚德楼4楼</w:t>
      </w:r>
      <w:r>
        <w:rPr>
          <w:rFonts w:hint="eastAsia" w:ascii="仿宋_GB2312" w:hAnsi="仿宋_GB2312" w:eastAsia="仿宋_GB2312" w:cs="仿宋_GB2312"/>
          <w:sz w:val="32"/>
          <w:szCs w:val="32"/>
          <w:lang w:val="en-US" w:eastAsia="zh-CN"/>
        </w:rPr>
        <w:t>明德厅</w:t>
      </w:r>
      <w:r>
        <w:rPr>
          <w:rFonts w:hint="eastAsia" w:ascii="仿宋_GB2312" w:hAnsi="仿宋_GB2312" w:eastAsia="仿宋_GB2312" w:cs="仿宋_GB2312"/>
          <w:sz w:val="32"/>
          <w:szCs w:val="32"/>
        </w:rPr>
        <w:t>会议室</w:t>
      </w:r>
    </w:p>
    <w:p w14:paraId="10AFB96C">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rPr>
          <w:rFonts w:hint="eastAsia" w:ascii="仿宋_GB2312" w:hAnsi="仿宋_GB2312" w:eastAsia="仿宋_GB2312" w:cs="仿宋_GB2312"/>
          <w:sz w:val="32"/>
          <w:szCs w:val="32"/>
        </w:rPr>
      </w:pPr>
      <w:r>
        <w:rPr>
          <w:rFonts w:hint="eastAsia" w:ascii="楷体GB2312" w:hAnsi="楷体GB2312" w:eastAsia="楷体GB2312" w:cs="楷体GB2312"/>
          <w:sz w:val="32"/>
          <w:szCs w:val="32"/>
        </w:rPr>
        <w:t>（三）评审方法：</w:t>
      </w:r>
      <w:r>
        <w:rPr>
          <w:rFonts w:hint="eastAsia" w:ascii="仿宋_GB2312" w:hAnsi="仿宋_GB2312" w:eastAsia="仿宋_GB2312" w:cs="仿宋_GB2312"/>
          <w:sz w:val="32"/>
          <w:szCs w:val="32"/>
        </w:rPr>
        <w:t>采用综合评分法。磋商小组将根据下表评审标准对响应文件进行独立评审打分，总分100分。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3"/>
        <w:gridCol w:w="878"/>
        <w:gridCol w:w="5491"/>
      </w:tblGrid>
      <w:tr w14:paraId="3F4F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153" w:type="dxa"/>
            <w:shd w:val="clear" w:color="auto" w:fill="FFFFFF"/>
            <w:vAlign w:val="center"/>
          </w:tcPr>
          <w:p w14:paraId="326112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i w:val="0"/>
                <w:iCs w:val="0"/>
                <w:caps w:val="0"/>
                <w:color w:val="0F1115"/>
                <w:spacing w:val="0"/>
                <w:kern w:val="2"/>
                <w:sz w:val="24"/>
                <w:szCs w:val="24"/>
                <w:lang w:val="en-US" w:eastAsia="zh-CN" w:bidi="ar-SA"/>
              </w:rPr>
            </w:pPr>
            <w:r>
              <w:rPr>
                <w:rFonts w:hint="eastAsia" w:ascii="仿宋_GB2312" w:hAnsi="仿宋_GB2312" w:eastAsia="仿宋_GB2312" w:cs="仿宋_GB2312"/>
                <w:b w:val="0"/>
                <w:bCs w:val="0"/>
                <w:i w:val="0"/>
                <w:iCs w:val="0"/>
                <w:caps w:val="0"/>
                <w:color w:val="0F1115"/>
                <w:spacing w:val="0"/>
                <w:kern w:val="0"/>
                <w:sz w:val="24"/>
                <w:szCs w:val="24"/>
                <w:lang w:val="en-US" w:eastAsia="zh-CN" w:bidi="ar"/>
              </w:rPr>
              <w:t>评审维度</w:t>
            </w:r>
          </w:p>
        </w:tc>
        <w:tc>
          <w:tcPr>
            <w:tcW w:w="878" w:type="dxa"/>
            <w:shd w:val="clear" w:color="auto" w:fill="FFFFFF"/>
            <w:vAlign w:val="center"/>
          </w:tcPr>
          <w:p w14:paraId="31CC8E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i w:val="0"/>
                <w:iCs w:val="0"/>
                <w:caps w:val="0"/>
                <w:color w:val="0F1115"/>
                <w:spacing w:val="0"/>
                <w:kern w:val="2"/>
                <w:sz w:val="24"/>
                <w:szCs w:val="24"/>
                <w:lang w:val="en-US" w:eastAsia="zh-CN" w:bidi="ar-SA"/>
              </w:rPr>
            </w:pPr>
            <w:r>
              <w:rPr>
                <w:rFonts w:hint="eastAsia" w:ascii="仿宋_GB2312" w:hAnsi="仿宋_GB2312" w:eastAsia="仿宋_GB2312" w:cs="仿宋_GB2312"/>
                <w:b w:val="0"/>
                <w:bCs w:val="0"/>
                <w:i w:val="0"/>
                <w:iCs w:val="0"/>
                <w:caps w:val="0"/>
                <w:color w:val="0F1115"/>
                <w:spacing w:val="0"/>
                <w:kern w:val="0"/>
                <w:sz w:val="24"/>
                <w:szCs w:val="24"/>
                <w:lang w:val="en-US" w:eastAsia="zh-CN" w:bidi="ar"/>
              </w:rPr>
              <w:t>分值</w:t>
            </w:r>
          </w:p>
        </w:tc>
        <w:tc>
          <w:tcPr>
            <w:tcW w:w="5491" w:type="dxa"/>
            <w:shd w:val="clear" w:color="auto" w:fill="FFFFFF"/>
            <w:vAlign w:val="center"/>
          </w:tcPr>
          <w:p w14:paraId="1592BD9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i w:val="0"/>
                <w:iCs w:val="0"/>
                <w:caps w:val="0"/>
                <w:color w:val="0F1115"/>
                <w:spacing w:val="0"/>
                <w:kern w:val="2"/>
                <w:sz w:val="24"/>
                <w:szCs w:val="24"/>
                <w:lang w:val="en-US" w:eastAsia="zh-CN" w:bidi="ar-SA"/>
              </w:rPr>
            </w:pPr>
            <w:r>
              <w:rPr>
                <w:rFonts w:hint="eastAsia" w:ascii="仿宋_GB2312" w:hAnsi="仿宋_GB2312" w:eastAsia="仿宋_GB2312" w:cs="仿宋_GB2312"/>
                <w:b w:val="0"/>
                <w:bCs w:val="0"/>
                <w:i w:val="0"/>
                <w:iCs w:val="0"/>
                <w:caps w:val="0"/>
                <w:color w:val="0F1115"/>
                <w:spacing w:val="0"/>
                <w:kern w:val="0"/>
                <w:sz w:val="24"/>
                <w:szCs w:val="24"/>
                <w:lang w:val="en-US" w:eastAsia="zh-CN" w:bidi="ar"/>
              </w:rPr>
              <w:t>评审指标及评分标准</w:t>
            </w:r>
          </w:p>
        </w:tc>
      </w:tr>
      <w:tr w14:paraId="2421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3" w:type="dxa"/>
            <w:shd w:val="clear" w:color="auto" w:fill="FFFFFF"/>
            <w:vAlign w:val="center"/>
          </w:tcPr>
          <w:p w14:paraId="755124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i w:val="0"/>
                <w:iCs w:val="0"/>
                <w:caps w:val="0"/>
                <w:color w:val="0F1115"/>
                <w:spacing w:val="0"/>
                <w:kern w:val="2"/>
                <w:sz w:val="24"/>
                <w:szCs w:val="24"/>
                <w:lang w:val="en-US" w:eastAsia="zh-CN" w:bidi="ar-SA"/>
              </w:rPr>
            </w:pPr>
            <w:r>
              <w:rPr>
                <w:rStyle w:val="8"/>
                <w:rFonts w:hint="eastAsia" w:ascii="仿宋_GB2312" w:hAnsi="仿宋_GB2312" w:eastAsia="仿宋_GB2312" w:cs="仿宋_GB2312"/>
                <w:b w:val="0"/>
                <w:bCs w:val="0"/>
                <w:i w:val="0"/>
                <w:iCs w:val="0"/>
                <w:caps w:val="0"/>
                <w:color w:val="0F1115"/>
                <w:spacing w:val="0"/>
                <w:kern w:val="0"/>
                <w:sz w:val="24"/>
                <w:szCs w:val="24"/>
                <w:lang w:val="en-US" w:eastAsia="zh-CN" w:bidi="ar"/>
              </w:rPr>
              <w:t>一、报价部分</w:t>
            </w:r>
          </w:p>
        </w:tc>
        <w:tc>
          <w:tcPr>
            <w:tcW w:w="878" w:type="dxa"/>
            <w:shd w:val="clear" w:color="auto" w:fill="FFFFFF"/>
            <w:vAlign w:val="center"/>
          </w:tcPr>
          <w:p w14:paraId="44227E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i w:val="0"/>
                <w:iCs w:val="0"/>
                <w:caps w:val="0"/>
                <w:color w:val="0F1115"/>
                <w:spacing w:val="0"/>
                <w:kern w:val="2"/>
                <w:sz w:val="24"/>
                <w:szCs w:val="24"/>
                <w:lang w:val="en-US" w:eastAsia="zh-CN" w:bidi="ar-SA"/>
              </w:rPr>
            </w:pPr>
            <w:r>
              <w:rPr>
                <w:rFonts w:hint="eastAsia" w:ascii="仿宋_GB2312" w:hAnsi="仿宋_GB2312" w:eastAsia="仿宋_GB2312" w:cs="仿宋_GB2312"/>
                <w:b w:val="0"/>
                <w:bCs w:val="0"/>
                <w:i w:val="0"/>
                <w:iCs w:val="0"/>
                <w:caps w:val="0"/>
                <w:color w:val="0F1115"/>
                <w:spacing w:val="0"/>
                <w:kern w:val="0"/>
                <w:sz w:val="24"/>
                <w:szCs w:val="24"/>
                <w:lang w:val="en-US" w:eastAsia="zh-CN" w:bidi="ar"/>
              </w:rPr>
              <w:t>20</w:t>
            </w:r>
          </w:p>
        </w:tc>
        <w:tc>
          <w:tcPr>
            <w:tcW w:w="5491" w:type="dxa"/>
            <w:shd w:val="clear" w:color="auto" w:fill="FFFFFF"/>
            <w:vAlign w:val="center"/>
          </w:tcPr>
          <w:p w14:paraId="5DCCCC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i w:val="0"/>
                <w:iCs w:val="0"/>
                <w:caps w:val="0"/>
                <w:color w:val="0F1115"/>
                <w:spacing w:val="0"/>
                <w:kern w:val="2"/>
                <w:sz w:val="24"/>
                <w:szCs w:val="24"/>
                <w:lang w:val="en-US" w:eastAsia="zh-CN" w:bidi="ar-SA"/>
              </w:rPr>
            </w:pPr>
            <w:r>
              <w:rPr>
                <w:rFonts w:hint="eastAsia" w:ascii="仿宋_GB2312" w:hAnsi="仿宋_GB2312" w:eastAsia="仿宋_GB2312" w:cs="仿宋_GB2312"/>
                <w:b w:val="0"/>
                <w:bCs w:val="0"/>
                <w:i w:val="0"/>
                <w:iCs w:val="0"/>
                <w:caps w:val="0"/>
                <w:color w:val="0F1115"/>
                <w:spacing w:val="0"/>
                <w:kern w:val="0"/>
                <w:sz w:val="24"/>
                <w:szCs w:val="24"/>
                <w:lang w:val="en-US" w:eastAsia="zh-CN" w:bidi="ar"/>
              </w:rPr>
              <w:t>1.下浮率≥10%：20分；</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br w:type="textWrapping"/>
            </w:r>
            <w:r>
              <w:rPr>
                <w:rFonts w:hint="eastAsia" w:ascii="仿宋_GB2312" w:hAnsi="仿宋_GB2312" w:eastAsia="仿宋_GB2312" w:cs="仿宋_GB2312"/>
                <w:b w:val="0"/>
                <w:bCs w:val="0"/>
                <w:i w:val="0"/>
                <w:iCs w:val="0"/>
                <w:caps w:val="0"/>
                <w:color w:val="0F1115"/>
                <w:spacing w:val="0"/>
                <w:kern w:val="0"/>
                <w:sz w:val="24"/>
                <w:szCs w:val="24"/>
                <w:lang w:val="en-US" w:eastAsia="zh-CN" w:bidi="ar"/>
              </w:rPr>
              <w:t>2.下浮率在8%（含）-10%之间：15分；</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br w:type="textWrapping"/>
            </w:r>
            <w:r>
              <w:rPr>
                <w:rFonts w:hint="eastAsia" w:ascii="仿宋_GB2312" w:hAnsi="仿宋_GB2312" w:eastAsia="仿宋_GB2312" w:cs="仿宋_GB2312"/>
                <w:b w:val="0"/>
                <w:bCs w:val="0"/>
                <w:i w:val="0"/>
                <w:iCs w:val="0"/>
                <w:caps w:val="0"/>
                <w:color w:val="0F1115"/>
                <w:spacing w:val="0"/>
                <w:kern w:val="0"/>
                <w:sz w:val="24"/>
                <w:szCs w:val="24"/>
                <w:lang w:val="en-US" w:eastAsia="zh-CN" w:bidi="ar"/>
              </w:rPr>
              <w:t>3.下浮率在6%（含）-8%之间：10分；</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br w:type="textWrapping"/>
            </w:r>
            <w:r>
              <w:rPr>
                <w:rFonts w:hint="eastAsia" w:ascii="仿宋_GB2312" w:hAnsi="仿宋_GB2312" w:eastAsia="仿宋_GB2312" w:cs="仿宋_GB2312"/>
                <w:b w:val="0"/>
                <w:bCs w:val="0"/>
                <w:i w:val="0"/>
                <w:iCs w:val="0"/>
                <w:caps w:val="0"/>
                <w:color w:val="0F1115"/>
                <w:spacing w:val="0"/>
                <w:kern w:val="0"/>
                <w:sz w:val="24"/>
                <w:szCs w:val="24"/>
                <w:lang w:val="en-US" w:eastAsia="zh-CN" w:bidi="ar"/>
              </w:rPr>
              <w:t>4.下浮率</w:t>
            </w:r>
            <w:r>
              <w:rPr>
                <w:rFonts w:hint="default" w:ascii="仿宋_GB2312" w:hAnsi="仿宋_GB2312" w:eastAsia="仿宋_GB2312" w:cs="仿宋_GB2312"/>
                <w:b w:val="0"/>
                <w:bCs w:val="0"/>
                <w:i w:val="0"/>
                <w:iCs w:val="0"/>
                <w:caps w:val="0"/>
                <w:color w:val="0F1115"/>
                <w:spacing w:val="0"/>
                <w:kern w:val="0"/>
                <w:sz w:val="24"/>
                <w:szCs w:val="24"/>
                <w:lang w:val="en-US" w:eastAsia="zh-CN" w:bidi="ar"/>
              </w:rPr>
              <w:t>≤</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t>5%：5分。</w:t>
            </w:r>
          </w:p>
        </w:tc>
      </w:tr>
      <w:tr w14:paraId="04AD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3" w:type="dxa"/>
            <w:shd w:val="clear" w:color="auto" w:fill="FFFFFF"/>
            <w:vAlign w:val="center"/>
          </w:tcPr>
          <w:p w14:paraId="6FC4A8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i w:val="0"/>
                <w:iCs w:val="0"/>
                <w:caps w:val="0"/>
                <w:color w:val="0F1115"/>
                <w:spacing w:val="0"/>
                <w:kern w:val="2"/>
                <w:sz w:val="24"/>
                <w:szCs w:val="24"/>
                <w:lang w:val="en-US" w:eastAsia="zh-CN" w:bidi="ar-SA"/>
              </w:rPr>
            </w:pPr>
            <w:r>
              <w:rPr>
                <w:rStyle w:val="8"/>
                <w:rFonts w:hint="eastAsia" w:ascii="仿宋_GB2312" w:hAnsi="仿宋_GB2312" w:eastAsia="仿宋_GB2312" w:cs="仿宋_GB2312"/>
                <w:b w:val="0"/>
                <w:bCs w:val="0"/>
                <w:i w:val="0"/>
                <w:iCs w:val="0"/>
                <w:caps w:val="0"/>
                <w:color w:val="0F1115"/>
                <w:spacing w:val="0"/>
                <w:kern w:val="0"/>
                <w:sz w:val="24"/>
                <w:szCs w:val="24"/>
                <w:lang w:val="en-US" w:eastAsia="zh-CN" w:bidi="ar"/>
              </w:rPr>
              <w:t>二、技术方案与实施能力</w:t>
            </w:r>
          </w:p>
        </w:tc>
        <w:tc>
          <w:tcPr>
            <w:tcW w:w="878" w:type="dxa"/>
            <w:shd w:val="clear" w:color="auto" w:fill="FFFFFF"/>
            <w:vAlign w:val="center"/>
          </w:tcPr>
          <w:p w14:paraId="4B911C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i w:val="0"/>
                <w:iCs w:val="0"/>
                <w:caps w:val="0"/>
                <w:color w:val="0F1115"/>
                <w:spacing w:val="0"/>
                <w:kern w:val="2"/>
                <w:sz w:val="24"/>
                <w:szCs w:val="24"/>
                <w:lang w:val="en-US" w:eastAsia="zh-CN" w:bidi="ar-SA"/>
              </w:rPr>
            </w:pPr>
            <w:r>
              <w:rPr>
                <w:rFonts w:hint="eastAsia" w:ascii="仿宋_GB2312" w:hAnsi="仿宋_GB2312" w:eastAsia="仿宋_GB2312" w:cs="仿宋_GB2312"/>
                <w:b w:val="0"/>
                <w:bCs w:val="0"/>
                <w:i w:val="0"/>
                <w:iCs w:val="0"/>
                <w:caps w:val="0"/>
                <w:color w:val="0F1115"/>
                <w:spacing w:val="0"/>
                <w:kern w:val="0"/>
                <w:sz w:val="24"/>
                <w:szCs w:val="24"/>
                <w:lang w:val="en-US" w:eastAsia="zh-CN" w:bidi="ar"/>
              </w:rPr>
              <w:t>35</w:t>
            </w:r>
          </w:p>
        </w:tc>
        <w:tc>
          <w:tcPr>
            <w:tcW w:w="5491" w:type="dxa"/>
            <w:shd w:val="clear" w:color="auto" w:fill="FFFFFF"/>
            <w:vAlign w:val="center"/>
          </w:tcPr>
          <w:p w14:paraId="037F613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i w:val="0"/>
                <w:iCs w:val="0"/>
                <w:caps w:val="0"/>
                <w:color w:val="0F1115"/>
                <w:spacing w:val="0"/>
                <w:kern w:val="2"/>
                <w:sz w:val="24"/>
                <w:szCs w:val="24"/>
                <w:lang w:val="en-US" w:eastAsia="zh-CN" w:bidi="ar-SA"/>
              </w:rPr>
            </w:pPr>
            <w:r>
              <w:rPr>
                <w:rStyle w:val="8"/>
                <w:rFonts w:hint="eastAsia" w:ascii="仿宋_GB2312" w:hAnsi="仿宋_GB2312" w:eastAsia="仿宋_GB2312" w:cs="仿宋_GB2312"/>
                <w:b w:val="0"/>
                <w:bCs w:val="0"/>
                <w:i w:val="0"/>
                <w:iCs w:val="0"/>
                <w:caps w:val="0"/>
                <w:color w:val="0F1115"/>
                <w:spacing w:val="0"/>
                <w:kern w:val="0"/>
                <w:sz w:val="24"/>
                <w:szCs w:val="24"/>
                <w:lang w:val="en-US" w:eastAsia="zh-CN" w:bidi="ar"/>
              </w:rPr>
              <w:t>1.维修服务方案（15分）</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t>：方案全面性、科学性、针对性。优：12-15分，良：8-11分，一般：4-7分，差：0-3分。</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br w:type="textWrapping"/>
            </w:r>
            <w:r>
              <w:rPr>
                <w:rStyle w:val="8"/>
                <w:rFonts w:hint="eastAsia" w:ascii="仿宋_GB2312" w:hAnsi="仿宋_GB2312" w:eastAsia="仿宋_GB2312" w:cs="仿宋_GB2312"/>
                <w:b w:val="0"/>
                <w:bCs w:val="0"/>
                <w:i w:val="0"/>
                <w:iCs w:val="0"/>
                <w:caps w:val="0"/>
                <w:color w:val="0F1115"/>
                <w:spacing w:val="0"/>
                <w:kern w:val="0"/>
                <w:sz w:val="24"/>
                <w:szCs w:val="24"/>
                <w:lang w:val="en-US" w:eastAsia="zh-CN" w:bidi="ar"/>
              </w:rPr>
              <w:t>2.应急响应与时效性（10分）</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t>：</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br w:type="textWrapping"/>
            </w:r>
            <w:r>
              <w:rPr>
                <w:rFonts w:hint="eastAsia" w:ascii="仿宋_GB2312" w:hAnsi="仿宋_GB2312" w:eastAsia="仿宋_GB2312" w:cs="仿宋_GB2312"/>
                <w:b w:val="0"/>
                <w:bCs w:val="0"/>
                <w:i w:val="0"/>
                <w:iCs w:val="0"/>
                <w:caps w:val="0"/>
                <w:color w:val="0F1115"/>
                <w:spacing w:val="0"/>
                <w:kern w:val="0"/>
                <w:sz w:val="24"/>
                <w:szCs w:val="24"/>
                <w:lang w:val="en-US" w:eastAsia="zh-CN" w:bidi="ar"/>
              </w:rPr>
              <w:t>- 应急到场时间承诺（≤1小时：5分；1-2小时：3分；＞2小时：0分）；</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br w:type="textWrapping"/>
            </w:r>
            <w:r>
              <w:rPr>
                <w:rFonts w:hint="eastAsia" w:ascii="仿宋_GB2312" w:hAnsi="仿宋_GB2312" w:eastAsia="仿宋_GB2312" w:cs="仿宋_GB2312"/>
                <w:b w:val="0"/>
                <w:bCs w:val="0"/>
                <w:i w:val="0"/>
                <w:iCs w:val="0"/>
                <w:caps w:val="0"/>
                <w:color w:val="0F1115"/>
                <w:spacing w:val="0"/>
                <w:kern w:val="0"/>
                <w:sz w:val="24"/>
                <w:szCs w:val="24"/>
                <w:lang w:val="en-US" w:eastAsia="zh-CN" w:bidi="ar"/>
              </w:rPr>
              <w:t>- 常规维修响应与完成时限承诺（优：3-5分，一般：1-2分）。</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br w:type="textWrapping"/>
            </w:r>
            <w:r>
              <w:rPr>
                <w:rStyle w:val="8"/>
                <w:rFonts w:hint="eastAsia" w:ascii="仿宋_GB2312" w:hAnsi="仿宋_GB2312" w:eastAsia="仿宋_GB2312" w:cs="仿宋_GB2312"/>
                <w:b w:val="0"/>
                <w:bCs w:val="0"/>
                <w:i w:val="0"/>
                <w:iCs w:val="0"/>
                <w:caps w:val="0"/>
                <w:color w:val="0F1115"/>
                <w:spacing w:val="0"/>
                <w:kern w:val="0"/>
                <w:sz w:val="24"/>
                <w:szCs w:val="24"/>
                <w:lang w:val="en-US" w:eastAsia="zh-CN" w:bidi="ar"/>
              </w:rPr>
              <w:t>3.质量控制与安全保障（10分）</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t>：质量检验流程、材料标准、安全文明施工措施、人员保险等。优：8-10分，良：5-7分，一般：2-4分，差：0-1分。</w:t>
            </w:r>
          </w:p>
        </w:tc>
      </w:tr>
      <w:tr w14:paraId="02E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3" w:type="dxa"/>
            <w:shd w:val="clear" w:color="auto" w:fill="FFFFFF"/>
            <w:vAlign w:val="center"/>
          </w:tcPr>
          <w:p w14:paraId="003C64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i w:val="0"/>
                <w:iCs w:val="0"/>
                <w:caps w:val="0"/>
                <w:color w:val="0F1115"/>
                <w:spacing w:val="0"/>
                <w:kern w:val="2"/>
                <w:sz w:val="24"/>
                <w:szCs w:val="24"/>
                <w:lang w:val="en-US" w:eastAsia="zh-CN" w:bidi="ar-SA"/>
              </w:rPr>
            </w:pPr>
            <w:r>
              <w:rPr>
                <w:rStyle w:val="8"/>
                <w:rFonts w:hint="eastAsia" w:ascii="仿宋_GB2312" w:hAnsi="仿宋_GB2312" w:eastAsia="仿宋_GB2312" w:cs="仿宋_GB2312"/>
                <w:b w:val="0"/>
                <w:bCs w:val="0"/>
                <w:i w:val="0"/>
                <w:iCs w:val="0"/>
                <w:caps w:val="0"/>
                <w:color w:val="0F1115"/>
                <w:spacing w:val="0"/>
                <w:kern w:val="0"/>
                <w:sz w:val="24"/>
                <w:szCs w:val="24"/>
                <w:lang w:val="en-US" w:eastAsia="zh-CN" w:bidi="ar"/>
              </w:rPr>
              <w:t>三、商务与履约能力</w:t>
            </w:r>
          </w:p>
        </w:tc>
        <w:tc>
          <w:tcPr>
            <w:tcW w:w="878" w:type="dxa"/>
            <w:shd w:val="clear" w:color="auto" w:fill="FFFFFF"/>
            <w:vAlign w:val="center"/>
          </w:tcPr>
          <w:p w14:paraId="176AD2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i w:val="0"/>
                <w:iCs w:val="0"/>
                <w:caps w:val="0"/>
                <w:color w:val="0F1115"/>
                <w:spacing w:val="0"/>
                <w:kern w:val="2"/>
                <w:sz w:val="24"/>
                <w:szCs w:val="24"/>
                <w:lang w:val="en-US" w:eastAsia="zh-CN" w:bidi="ar-SA"/>
              </w:rPr>
            </w:pPr>
            <w:r>
              <w:rPr>
                <w:rFonts w:hint="eastAsia" w:ascii="仿宋_GB2312" w:hAnsi="仿宋_GB2312" w:eastAsia="仿宋_GB2312" w:cs="仿宋_GB2312"/>
                <w:b w:val="0"/>
                <w:bCs w:val="0"/>
                <w:i w:val="0"/>
                <w:iCs w:val="0"/>
                <w:caps w:val="0"/>
                <w:color w:val="0F1115"/>
                <w:spacing w:val="0"/>
                <w:kern w:val="0"/>
                <w:sz w:val="24"/>
                <w:szCs w:val="24"/>
                <w:lang w:val="en-US" w:eastAsia="zh-CN" w:bidi="ar"/>
              </w:rPr>
              <w:t>25</w:t>
            </w:r>
          </w:p>
        </w:tc>
        <w:tc>
          <w:tcPr>
            <w:tcW w:w="5491" w:type="dxa"/>
            <w:shd w:val="clear" w:color="auto" w:fill="FFFFFF"/>
            <w:vAlign w:val="center"/>
          </w:tcPr>
          <w:p w14:paraId="666465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i w:val="0"/>
                <w:iCs w:val="0"/>
                <w:caps w:val="0"/>
                <w:color w:val="0F1115"/>
                <w:spacing w:val="0"/>
                <w:kern w:val="2"/>
                <w:sz w:val="24"/>
                <w:szCs w:val="24"/>
                <w:lang w:val="en-US" w:eastAsia="zh-CN" w:bidi="ar-SA"/>
              </w:rPr>
            </w:pPr>
            <w:r>
              <w:rPr>
                <w:rStyle w:val="8"/>
                <w:rFonts w:hint="eastAsia" w:ascii="仿宋_GB2312" w:hAnsi="仿宋_GB2312" w:eastAsia="仿宋_GB2312" w:cs="仿宋_GB2312"/>
                <w:b w:val="0"/>
                <w:bCs w:val="0"/>
                <w:i w:val="0"/>
                <w:iCs w:val="0"/>
                <w:caps w:val="0"/>
                <w:color w:val="0F1115"/>
                <w:spacing w:val="0"/>
                <w:kern w:val="0"/>
                <w:sz w:val="24"/>
                <w:szCs w:val="24"/>
                <w:lang w:val="en-US" w:eastAsia="zh-CN" w:bidi="ar"/>
              </w:rPr>
              <w:t>1.资质与人员（10分）</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t>：</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br w:type="textWrapping"/>
            </w:r>
            <w:r>
              <w:rPr>
                <w:rFonts w:hint="eastAsia" w:ascii="仿宋_GB2312" w:hAnsi="仿宋_GB2312" w:eastAsia="仿宋_GB2312" w:cs="仿宋_GB2312"/>
                <w:b w:val="0"/>
                <w:bCs w:val="0"/>
                <w:i w:val="0"/>
                <w:iCs w:val="0"/>
                <w:caps w:val="0"/>
                <w:color w:val="0F1115"/>
                <w:spacing w:val="0"/>
                <w:kern w:val="0"/>
                <w:sz w:val="24"/>
                <w:szCs w:val="24"/>
                <w:lang w:val="en-US" w:eastAsia="zh-CN" w:bidi="ar"/>
              </w:rPr>
              <w:t>- 资质等级：一级5分，二级3分，三级1分。</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br w:type="textWrapping"/>
            </w:r>
            <w:r>
              <w:rPr>
                <w:rFonts w:hint="eastAsia" w:ascii="仿宋_GB2312" w:hAnsi="仿宋_GB2312" w:eastAsia="仿宋_GB2312" w:cs="仿宋_GB2312"/>
                <w:b w:val="0"/>
                <w:bCs w:val="0"/>
                <w:i w:val="0"/>
                <w:iCs w:val="0"/>
                <w:caps w:val="0"/>
                <w:color w:val="0F1115"/>
                <w:spacing w:val="0"/>
                <w:kern w:val="0"/>
                <w:sz w:val="24"/>
                <w:szCs w:val="24"/>
                <w:lang w:val="en-US" w:eastAsia="zh-CN" w:bidi="ar"/>
              </w:rPr>
              <w:t>- 项目团队配置合理性：优5分，基本合理3分。</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br w:type="textWrapping"/>
            </w:r>
            <w:r>
              <w:rPr>
                <w:rStyle w:val="8"/>
                <w:rFonts w:hint="eastAsia" w:ascii="仿宋_GB2312" w:hAnsi="仿宋_GB2312" w:eastAsia="仿宋_GB2312" w:cs="仿宋_GB2312"/>
                <w:b w:val="0"/>
                <w:bCs w:val="0"/>
                <w:i w:val="0"/>
                <w:iCs w:val="0"/>
                <w:caps w:val="0"/>
                <w:color w:val="0F1115"/>
                <w:spacing w:val="0"/>
                <w:kern w:val="0"/>
                <w:sz w:val="24"/>
                <w:szCs w:val="24"/>
                <w:lang w:val="en-US" w:eastAsia="zh-CN" w:bidi="ar"/>
              </w:rPr>
              <w:t>2.类似业绩（10分）</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t>：近2年每提供1个有效学校或机关单位维修业绩（合同+证明）得2分，满分10分。</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br w:type="textWrapping"/>
            </w:r>
            <w:r>
              <w:rPr>
                <w:rStyle w:val="8"/>
                <w:rFonts w:hint="eastAsia" w:ascii="仿宋_GB2312" w:hAnsi="仿宋_GB2312" w:eastAsia="仿宋_GB2312" w:cs="仿宋_GB2312"/>
                <w:b w:val="0"/>
                <w:bCs w:val="0"/>
                <w:i w:val="0"/>
                <w:iCs w:val="0"/>
                <w:caps w:val="0"/>
                <w:color w:val="0F1115"/>
                <w:spacing w:val="0"/>
                <w:kern w:val="0"/>
                <w:sz w:val="24"/>
                <w:szCs w:val="24"/>
                <w:lang w:val="en-US" w:eastAsia="zh-CN" w:bidi="ar"/>
              </w:rPr>
              <w:t>3.设备保障（5分）</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t>：设备清单齐全度满足维修需求。齐全5分，基本满足3分。</w:t>
            </w:r>
          </w:p>
        </w:tc>
      </w:tr>
      <w:tr w14:paraId="5FDD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3" w:type="dxa"/>
            <w:shd w:val="clear" w:color="auto" w:fill="FFFFFF"/>
            <w:vAlign w:val="center"/>
          </w:tcPr>
          <w:p w14:paraId="637F85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i w:val="0"/>
                <w:iCs w:val="0"/>
                <w:caps w:val="0"/>
                <w:color w:val="0F1115"/>
                <w:spacing w:val="0"/>
                <w:kern w:val="2"/>
                <w:sz w:val="24"/>
                <w:szCs w:val="24"/>
                <w:lang w:val="en-US" w:eastAsia="zh-CN" w:bidi="ar-SA"/>
              </w:rPr>
            </w:pPr>
            <w:r>
              <w:rPr>
                <w:rStyle w:val="8"/>
                <w:rFonts w:hint="eastAsia" w:ascii="仿宋_GB2312" w:hAnsi="仿宋_GB2312" w:eastAsia="仿宋_GB2312" w:cs="仿宋_GB2312"/>
                <w:b w:val="0"/>
                <w:bCs w:val="0"/>
                <w:i w:val="0"/>
                <w:iCs w:val="0"/>
                <w:caps w:val="0"/>
                <w:color w:val="0F1115"/>
                <w:spacing w:val="0"/>
                <w:kern w:val="0"/>
                <w:sz w:val="24"/>
                <w:szCs w:val="24"/>
                <w:lang w:val="en-US" w:eastAsia="zh-CN" w:bidi="ar"/>
              </w:rPr>
              <w:t>四、服务承诺与售后</w:t>
            </w:r>
          </w:p>
        </w:tc>
        <w:tc>
          <w:tcPr>
            <w:tcW w:w="878" w:type="dxa"/>
            <w:shd w:val="clear" w:color="auto" w:fill="FFFFFF"/>
            <w:vAlign w:val="center"/>
          </w:tcPr>
          <w:p w14:paraId="69DAAD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i w:val="0"/>
                <w:iCs w:val="0"/>
                <w:caps w:val="0"/>
                <w:color w:val="0F1115"/>
                <w:spacing w:val="0"/>
                <w:kern w:val="2"/>
                <w:sz w:val="24"/>
                <w:szCs w:val="24"/>
                <w:lang w:val="en-US" w:eastAsia="zh-CN" w:bidi="ar-SA"/>
              </w:rPr>
            </w:pPr>
            <w:r>
              <w:rPr>
                <w:rFonts w:hint="eastAsia" w:ascii="仿宋_GB2312" w:hAnsi="仿宋_GB2312" w:eastAsia="仿宋_GB2312" w:cs="仿宋_GB2312"/>
                <w:b w:val="0"/>
                <w:bCs w:val="0"/>
                <w:i w:val="0"/>
                <w:iCs w:val="0"/>
                <w:caps w:val="0"/>
                <w:color w:val="0F1115"/>
                <w:spacing w:val="0"/>
                <w:kern w:val="0"/>
                <w:sz w:val="24"/>
                <w:szCs w:val="24"/>
                <w:lang w:val="en-US" w:eastAsia="zh-CN" w:bidi="ar"/>
              </w:rPr>
              <w:t>20</w:t>
            </w:r>
          </w:p>
        </w:tc>
        <w:tc>
          <w:tcPr>
            <w:tcW w:w="5491" w:type="dxa"/>
            <w:shd w:val="clear" w:color="auto" w:fill="FFFFFF"/>
            <w:vAlign w:val="center"/>
          </w:tcPr>
          <w:p w14:paraId="0A0069B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i w:val="0"/>
                <w:iCs w:val="0"/>
                <w:caps w:val="0"/>
                <w:color w:val="0F1115"/>
                <w:spacing w:val="0"/>
                <w:kern w:val="2"/>
                <w:sz w:val="24"/>
                <w:szCs w:val="24"/>
                <w:lang w:val="en-US" w:eastAsia="zh-CN" w:bidi="ar-SA"/>
              </w:rPr>
            </w:pPr>
            <w:r>
              <w:rPr>
                <w:rStyle w:val="8"/>
                <w:rFonts w:hint="eastAsia" w:ascii="仿宋_GB2312" w:hAnsi="仿宋_GB2312" w:eastAsia="仿宋_GB2312" w:cs="仿宋_GB2312"/>
                <w:b w:val="0"/>
                <w:bCs w:val="0"/>
                <w:i w:val="0"/>
                <w:iCs w:val="0"/>
                <w:caps w:val="0"/>
                <w:color w:val="0F1115"/>
                <w:spacing w:val="0"/>
                <w:kern w:val="0"/>
                <w:sz w:val="24"/>
                <w:szCs w:val="24"/>
                <w:lang w:val="en-US" w:eastAsia="zh-CN" w:bidi="ar"/>
              </w:rPr>
              <w:t>1.服务承诺（10分）</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t>：质量保证期、返修责任、材料质保等承诺的具体性与可量化程度。优：8-10分，良：5-7分，一般：2-4分。</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br w:type="textWrapping"/>
            </w:r>
            <w:r>
              <w:rPr>
                <w:rStyle w:val="8"/>
                <w:rFonts w:hint="eastAsia" w:ascii="仿宋_GB2312" w:hAnsi="仿宋_GB2312" w:eastAsia="仿宋_GB2312" w:cs="仿宋_GB2312"/>
                <w:b w:val="0"/>
                <w:bCs w:val="0"/>
                <w:i w:val="0"/>
                <w:iCs w:val="0"/>
                <w:caps w:val="0"/>
                <w:color w:val="0F1115"/>
                <w:spacing w:val="0"/>
                <w:kern w:val="0"/>
                <w:sz w:val="24"/>
                <w:szCs w:val="24"/>
                <w:lang w:val="en-US" w:eastAsia="zh-CN" w:bidi="ar"/>
              </w:rPr>
              <w:t>2.售后与配合（10分）</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t>：</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br w:type="textWrapping"/>
            </w:r>
            <w:r>
              <w:rPr>
                <w:rFonts w:hint="eastAsia" w:ascii="仿宋_GB2312" w:hAnsi="仿宋_GB2312" w:eastAsia="仿宋_GB2312" w:cs="仿宋_GB2312"/>
                <w:b w:val="0"/>
                <w:bCs w:val="0"/>
                <w:i w:val="0"/>
                <w:iCs w:val="0"/>
                <w:caps w:val="0"/>
                <w:color w:val="0F1115"/>
                <w:spacing w:val="0"/>
                <w:kern w:val="0"/>
                <w:sz w:val="24"/>
                <w:szCs w:val="24"/>
                <w:lang w:val="en-US" w:eastAsia="zh-CN" w:bidi="ar"/>
              </w:rPr>
              <w:t>- 售后响应机制完善度：5分；</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br w:type="textWrapping"/>
            </w:r>
            <w:r>
              <w:rPr>
                <w:rFonts w:hint="eastAsia" w:ascii="仿宋_GB2312" w:hAnsi="仿宋_GB2312" w:eastAsia="仿宋_GB2312" w:cs="仿宋_GB2312"/>
                <w:b w:val="0"/>
                <w:bCs w:val="0"/>
                <w:i w:val="0"/>
                <w:iCs w:val="0"/>
                <w:caps w:val="0"/>
                <w:color w:val="0F1115"/>
                <w:spacing w:val="0"/>
                <w:kern w:val="0"/>
                <w:sz w:val="24"/>
                <w:szCs w:val="24"/>
                <w:lang w:val="en-US" w:eastAsia="zh-CN" w:bidi="ar"/>
              </w:rPr>
              <w:t>- 配合学校管理、资料提交等承诺的可操作性：5分。</w:t>
            </w:r>
          </w:p>
        </w:tc>
      </w:tr>
    </w:tbl>
    <w:p w14:paraId="2E4C72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GB2312" w:hAnsi="楷体GB2312" w:eastAsia="楷体GB2312" w:cs="楷体GB2312"/>
          <w:sz w:val="32"/>
          <w:szCs w:val="32"/>
        </w:rPr>
      </w:pPr>
      <w:r>
        <w:rPr>
          <w:rFonts w:hint="eastAsia" w:ascii="楷体GB2312" w:hAnsi="楷体GB2312" w:eastAsia="楷体GB2312" w:cs="楷体GB2312"/>
          <w:sz w:val="32"/>
          <w:szCs w:val="32"/>
        </w:rPr>
        <w:t>（四）评审说明：</w:t>
      </w:r>
    </w:p>
    <w:p w14:paraId="1E0983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磋商小组由采购人代表及评审专家共3人或5人（单数）组成。</w:t>
      </w:r>
    </w:p>
    <w:p w14:paraId="082CCB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评审过程中，磋商小组可对供应商进行质询，供应商须按要求书面答复。</w:t>
      </w:r>
    </w:p>
    <w:p w14:paraId="7EE243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各专家独立打分，最终得分为算术平均值（保留两位小数），得分最高的供应商为第一成交候选人。</w:t>
      </w:r>
    </w:p>
    <w:p w14:paraId="31A8B1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若总分相同，依次按类似业绩得分、技术方案得分高低确定排序。</w:t>
      </w:r>
    </w:p>
    <w:p w14:paraId="1B41E88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八、成交公示与合同签订</w:t>
      </w:r>
    </w:p>
    <w:p w14:paraId="75515FE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成交候选人将在学校</w:t>
      </w:r>
      <w:r>
        <w:rPr>
          <w:rFonts w:hint="eastAsia" w:ascii="仿宋_GB2312" w:hAnsi="仿宋_GB2312" w:eastAsia="仿宋_GB2312" w:cs="仿宋_GB2312"/>
          <w:sz w:val="32"/>
          <w:szCs w:val="32"/>
          <w:lang w:val="en-US" w:eastAsia="zh-CN"/>
        </w:rPr>
        <w:t>官网（http://www.cnxzx.net/）</w:t>
      </w:r>
      <w:r>
        <w:rPr>
          <w:rFonts w:hint="eastAsia" w:ascii="仿宋_GB2312" w:hAnsi="仿宋_GB2312" w:eastAsia="仿宋_GB2312" w:cs="仿宋_GB2312"/>
          <w:sz w:val="32"/>
          <w:szCs w:val="32"/>
        </w:rPr>
        <w:t>公示3个工作日。公示无异议后，采购人发出《成交通知书》，成交供应商应在7个工作日内签订合同。</w:t>
      </w:r>
    </w:p>
    <w:p w14:paraId="1897C5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、联系方式</w:t>
      </w:r>
    </w:p>
    <w:p w14:paraId="442B3E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采购人：四川省长宁县职业技术学校</w:t>
      </w:r>
    </w:p>
    <w:p w14:paraId="145342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联系人：王老师</w:t>
      </w:r>
    </w:p>
    <w:p w14:paraId="7FF63A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联系电话：18090977177</w:t>
      </w:r>
    </w:p>
    <w:p w14:paraId="4464D0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地址：长宁县竹都大道一段1号</w:t>
      </w:r>
    </w:p>
    <w:p w14:paraId="25F397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64D72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E010A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D70E9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DF398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3E5DF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四川省长宁县职业技术学校</w:t>
      </w:r>
    </w:p>
    <w:p w14:paraId="228733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2026年1月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3F6092-AE15-40B0-B7B0-DA16B7694A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FDDF9E89-4A3A-45D2-9ACF-6D11AAB008E4}"/>
  </w:font>
  <w:font w:name="仿宋_GB2312">
    <w:panose1 w:val="02010609030101010101"/>
    <w:charset w:val="86"/>
    <w:family w:val="auto"/>
    <w:pitch w:val="default"/>
    <w:sig w:usb0="00000001" w:usb1="080E0000" w:usb2="00000000" w:usb3="00000000" w:csb0="00040000" w:csb1="00000000"/>
    <w:embedRegular r:id="rId3" w:fontKey="{36DEB6C2-38C3-4D59-A330-6DD841C11919}"/>
  </w:font>
  <w:font w:name="楷体GB2312">
    <w:altName w:val="宋体"/>
    <w:panose1 w:val="00000000000000000000"/>
    <w:charset w:val="00"/>
    <w:family w:val="auto"/>
    <w:pitch w:val="default"/>
    <w:sig w:usb0="00000000" w:usb1="00000000" w:usb2="00000000" w:usb3="00000000" w:csb0="00000000" w:csb1="00000000"/>
    <w:embedRegular r:id="rId4" w:fontKey="{6F98F6F0-B460-4088-8E61-8977F7FD316F}"/>
  </w:font>
  <w:font w:name="楷体_GB2312">
    <w:panose1 w:val="02010609030101010101"/>
    <w:charset w:val="86"/>
    <w:family w:val="auto"/>
    <w:pitch w:val="default"/>
    <w:sig w:usb0="00000001" w:usb1="080E0000" w:usb2="00000000" w:usb3="00000000" w:csb0="00040000" w:csb1="00000000"/>
    <w:embedRegular r:id="rId5" w:fontKey="{15A579BE-FBEA-47B8-922E-40874997DC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4846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5B557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5B557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9A18D6"/>
    <w:rsid w:val="0EF86AD7"/>
    <w:rsid w:val="0F4E4770"/>
    <w:rsid w:val="12652C98"/>
    <w:rsid w:val="13CD77FE"/>
    <w:rsid w:val="1B9A18D6"/>
    <w:rsid w:val="1C8032E9"/>
    <w:rsid w:val="1D632E58"/>
    <w:rsid w:val="28F46F6F"/>
    <w:rsid w:val="2E9B567F"/>
    <w:rsid w:val="2FBD20CC"/>
    <w:rsid w:val="3AEA41B5"/>
    <w:rsid w:val="3E3170DF"/>
    <w:rsid w:val="4277280E"/>
    <w:rsid w:val="44E05090"/>
    <w:rsid w:val="4BE91C12"/>
    <w:rsid w:val="531A74C9"/>
    <w:rsid w:val="675A6D1E"/>
    <w:rsid w:val="6DA1296C"/>
    <w:rsid w:val="6F177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2733</Words>
  <Characters>2976</Characters>
  <Lines>0</Lines>
  <Paragraphs>0</Paragraphs>
  <TotalTime>1</TotalTime>
  <ScaleCrop>false</ScaleCrop>
  <LinksUpToDate>false</LinksUpToDate>
  <CharactersWithSpaces>2984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2026-01-08T04:08:00Z</dcterms:created>
  <dc:creator>绿叶之狼</dc:creator>
  <cp:lastModifiedBy>绿叶之狼</cp:lastModifiedBy>
  <cp:lastPrinted>2026-01-12T03:13:00Z</cp:lastPrinted>
  <dcterms:modified xsi:type="dcterms:W3CDTF">2026-01-25T08:21:58Z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5648C5230E014D5E89F0DEDF9DE4B1AE_13</vt:lpwstr>
  </property>
  <property fmtid="{D5CDD505-2E9C-101B-9397-08002B2CF9AE}" pid="4" name="KSOTemplateDocerSaveRecord">
    <vt:lpwstr>eyJoZGlkIjoiOTRkYzAyMWFhNjVhZmVhYTIyZWI3M2YzYWY1ODFjY2MiLCJ1c2VySWQiOiIzMjA0Njc2NjEifQ==</vt:lpwstr>
  </property>
</Properties>
</file>